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2D" w:rsidRPr="000A002D" w:rsidRDefault="000A002D" w:rsidP="000A002D">
      <w:pPr>
        <w:shd w:val="clear" w:color="auto" w:fill="FFFFFF"/>
        <w:spacing w:before="105" w:after="105" w:line="330" w:lineRule="atLeast"/>
        <w:textAlignment w:val="baseline"/>
        <w:outlineLvl w:val="3"/>
        <w:rPr>
          <w:rFonts w:ascii="Times New Roman" w:eastAsia="Times New Roman" w:hAnsi="Times New Roman" w:cs="Times New Roman"/>
          <w:b/>
          <w:bCs/>
          <w:color w:val="FF6633"/>
          <w:sz w:val="28"/>
          <w:szCs w:val="24"/>
        </w:rPr>
      </w:pPr>
      <w:r w:rsidRPr="000A002D">
        <w:rPr>
          <w:rFonts w:ascii="Times New Roman" w:eastAsia="Times New Roman" w:hAnsi="Times New Roman" w:cs="Times New Roman"/>
          <w:b/>
          <w:bCs/>
          <w:color w:val="FF6633"/>
          <w:sz w:val="28"/>
          <w:szCs w:val="24"/>
        </w:rPr>
        <w:t>Thủ tục đối với phương tiện thủy nội địa rời cảng, bến thủy nội địa</w:t>
      </w:r>
    </w:p>
    <w:p w:rsidR="000A002D" w:rsidRPr="000A002D" w:rsidRDefault="000A002D" w:rsidP="000A002D">
      <w:pPr>
        <w:numPr>
          <w:ilvl w:val="0"/>
          <w:numId w:val="1"/>
        </w:numPr>
        <w:shd w:val="clear" w:color="auto" w:fill="FFFFFF"/>
        <w:spacing w:after="0"/>
        <w:ind w:left="0" w:right="45"/>
        <w:textAlignment w:val="baseline"/>
        <w:rPr>
          <w:rFonts w:ascii="Times New Roman" w:eastAsia="Times New Roman" w:hAnsi="Times New Roman" w:cs="Times New Roman"/>
          <w:b/>
          <w:bCs/>
          <w:color w:val="FFFFFF"/>
          <w:sz w:val="24"/>
          <w:szCs w:val="24"/>
        </w:rPr>
      </w:pPr>
      <w:r w:rsidRPr="000A002D">
        <w:rPr>
          <w:rFonts w:ascii="Times New Roman" w:eastAsia="Times New Roman" w:hAnsi="Times New Roman" w:cs="Times New Roman"/>
          <w:b/>
          <w:bCs/>
          <w:color w:val="FFFFFF"/>
          <w:sz w:val="24"/>
          <w:szCs w:val="24"/>
        </w:rPr>
        <w:t>Thông tin</w:t>
      </w:r>
    </w:p>
    <w:p w:rsidR="000A002D" w:rsidRPr="000A002D" w:rsidRDefault="000A002D" w:rsidP="000A002D">
      <w:pPr>
        <w:shd w:val="clear" w:color="auto" w:fill="FFFFFF"/>
        <w:spacing w:after="0"/>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w:t>
      </w:r>
    </w:p>
    <w:p w:rsidR="000A002D" w:rsidRPr="000A002D" w:rsidRDefault="000A002D" w:rsidP="000A002D">
      <w:pPr>
        <w:numPr>
          <w:ilvl w:val="0"/>
          <w:numId w:val="1"/>
        </w:numPr>
        <w:shd w:val="clear" w:color="auto" w:fill="E9E9E9"/>
        <w:spacing w:after="0"/>
        <w:ind w:left="0" w:right="45"/>
        <w:textAlignment w:val="baseline"/>
        <w:rPr>
          <w:rFonts w:ascii="Times New Roman" w:eastAsia="Times New Roman" w:hAnsi="Times New Roman" w:cs="Times New Roman"/>
          <w:b/>
          <w:bCs/>
          <w:color w:val="444444"/>
          <w:sz w:val="24"/>
          <w:szCs w:val="24"/>
        </w:rPr>
      </w:pPr>
      <w:r w:rsidRPr="000A002D">
        <w:rPr>
          <w:rFonts w:ascii="Times New Roman" w:eastAsia="Times New Roman" w:hAnsi="Times New Roman" w:cs="Times New Roman"/>
          <w:b/>
          <w:bCs/>
          <w:color w:val="444444"/>
          <w:sz w:val="24"/>
          <w:szCs w:val="24"/>
        </w:rPr>
        <w:t>TTHC liên quan</w:t>
      </w:r>
    </w:p>
    <w:tbl>
      <w:tblPr>
        <w:tblW w:w="9348" w:type="dxa"/>
        <w:tblCellMar>
          <w:left w:w="0" w:type="dxa"/>
          <w:right w:w="0" w:type="dxa"/>
        </w:tblCellMar>
        <w:tblLook w:val="04A0" w:firstRow="1" w:lastRow="0" w:firstColumn="1" w:lastColumn="0" w:noHBand="0" w:noVBand="1"/>
      </w:tblPr>
      <w:tblGrid>
        <w:gridCol w:w="1977"/>
        <w:gridCol w:w="7371"/>
      </w:tblGrid>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Cơ quan Công bố/Công khai</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Bộ Giao thông vận tải</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Mã thủ tục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B-BGT-285008-TT</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Cấp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Cấp Bộ, Cấp Tỉnh</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Loại TTHC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TTHC được luật giao quy định chi tiết</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Lĩnh vực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Đường thủy nội địa</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Trình tự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a) Nộp hồ sơ TTHC:</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Trước khi phương tiện rời cảng, bến, thuyền trưởng hoặc thuyền phó hoặc người lái phương tiện có trách nhiệm xuất trình bản chính các giấy tờ theo quy định cho Cảng vụ Đường thủy nội địa hoặc Ban quản lý bến.</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b) Giải quyết TTHC:</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Cảng vụ Đường thủy nội địa hoặc Ban quản lý bến cấp giấy phép rời cảng, bến thủy nội địa trong thời hạn 30 phút, kể từ khi nhận đủ giấy tờ theo quy định.</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Trường hợp phương tiện thủy đã được cấp giấy phép rời cảng, bến thủy nội địa nhưng vẫn neo đậu tại vùng nước cảng, bến quá 24 giờ thì thuyền trưởng, thuyền phó hoặc người lái phương tiện phải đến Văn phòng Cảng vụ làm lại thủ tục rời cảng, bến cho phương tiện thủy.</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Trường hợp phương tiện thủy nội địa vào cảng, bến thủy nội địa và lưu lại trong khoảng thời gian không quá 72 giờ hoặc giấy tờ, tài liệu khi làm thủ tục rời cảng, bến thủy nội địa không thay đổi so với khi vào thì được làm thủ tục rời cảng, bến thủy nội địa một lần.</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Đối với phương tiện rời vào cảng, bến từ hai lần trở lên trong một ngày thì Cảng vụ Đường thủy nội địa  hoặc Ban quản lý bến chỉ kiểm tra thực tế lần đầu, từ lần thứ hai trong ngày chỉ kiểm tra điều kiện an toàn theo quy định.</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Cách thức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Trụ sở cơ quan hành chính. </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Thành phần hồ sơ</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Hợp đồng vận chuyển hoặc hóa đơn xuất kho hoặc giấy vận chuyển (đối với phương tiện chở hàng hóa) hoặc danh sách hành khách (đối với phương tiện chở hành khách);</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Chứng từ xác nhận việc nộp phí, lệ phí, tiền phạt hoặc thanh toán các khoản nợ theo quy định của pháp luật;</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Giấy tờ liên quan tới những thay đổi so với giấy tờ theo quy định;</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Đối với phương tiện đóng mới hoặc sửa chữa khi hạ thủy để chạy thử trên đường thủy nội địa, chủ phương tiện hoặc chủ cơ sở đóng mới, sửa chữa phương tiện phải xuất trình Cảng vụ hoặc Ban quản lý bến các giấy tờ sau:</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Biên bản kiểm tra của đăng kiểm xác nhận phương tiện đủ điều kiện chạy thử đường dài;</w:t>
            </w:r>
          </w:p>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lastRenderedPageBreak/>
              <w:t>+ Phương án bảo đảm an toàn giao thông khi hạ thủy đối với phương tiện hạ thủy vượt qua phạm vi hành lang bảo vệ luồng chạy tàu có ý kiến phê duyệt của đơn vị trực tiếp quản lý tuyến đường thủy nội địa khu vực.</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lastRenderedPageBreak/>
              <w:t>Số bộ hồ sơ</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01 (một) bộ</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Mẫu đơn, mẫu tờ khai</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Phí</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Không có thông tin</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Lệ phí</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7114" w:type="dxa"/>
              <w:tblCellMar>
                <w:left w:w="0" w:type="dxa"/>
                <w:right w:w="0" w:type="dxa"/>
              </w:tblCellMar>
              <w:tblLook w:val="04A0" w:firstRow="1" w:lastRow="0" w:firstColumn="1" w:lastColumn="0" w:noHBand="0" w:noVBand="1"/>
            </w:tblPr>
            <w:tblGrid>
              <w:gridCol w:w="3287"/>
              <w:gridCol w:w="3827"/>
            </w:tblGrid>
            <w:tr w:rsidR="000A002D" w:rsidRPr="000A002D" w:rsidTr="000A002D">
              <w:tc>
                <w:tcPr>
                  <w:tcW w:w="328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Mô tả</w:t>
                  </w:r>
                </w:p>
              </w:tc>
              <w:tc>
                <w:tcPr>
                  <w:tcW w:w="382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Mức lệ phí</w:t>
                  </w:r>
                </w:p>
              </w:tc>
            </w:tr>
            <w:tr w:rsidR="000A002D" w:rsidRPr="000A002D" w:rsidTr="000A002D">
              <w:trPr>
                <w:trHeight w:val="537"/>
              </w:trPr>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rsidR="000A002D" w:rsidRPr="000A002D" w:rsidRDefault="000A002D" w:rsidP="000A002D">
                  <w:pPr>
                    <w:spacing w:after="0" w:line="240" w:lineRule="atLeast"/>
                    <w:rPr>
                      <w:rFonts w:ascii="Times New Roman" w:eastAsia="Times New Roman" w:hAnsi="Times New Roman" w:cs="Times New Roman"/>
                      <w:sz w:val="24"/>
                      <w:szCs w:val="24"/>
                    </w:rPr>
                  </w:pPr>
                  <w:r w:rsidRPr="000A002D">
                    <w:rPr>
                      <w:rFonts w:ascii="Times New Roman" w:eastAsia="Times New Roman" w:hAnsi="Times New Roman" w:cs="Times New Roman"/>
                      <w:sz w:val="24"/>
                      <w:szCs w:val="24"/>
                    </w:rPr>
                    <w:t>phí và lệ phí</w:t>
                  </w:r>
                  <w:bookmarkStart w:id="0" w:name="_GoBack"/>
                  <w:bookmarkEnd w:id="0"/>
                </w:p>
              </w:tc>
              <w:tc>
                <w:tcPr>
                  <w:tcW w:w="38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sz w:val="24"/>
                      <w:szCs w:val="24"/>
                    </w:rPr>
                  </w:pPr>
                  <w:r w:rsidRPr="000A002D">
                    <w:rPr>
                      <w:rFonts w:ascii="Times New Roman" w:eastAsia="Times New Roman" w:hAnsi="Times New Roman" w:cs="Times New Roman"/>
                      <w:sz w:val="24"/>
                      <w:szCs w:val="24"/>
                    </w:rPr>
                    <w:t xml:space="preserve">Theo biểu phí, lệ phí quy định tại Thông tư số 248/2016/TT-BGTVT ngày 11 tháng 11 năm 2016 của Bộ Tài chính </w:t>
                  </w:r>
                  <w:r w:rsidRPr="000A002D">
                    <w:rPr>
                      <w:rFonts w:ascii="Times New Roman" w:eastAsia="Times New Roman" w:hAnsi="Times New Roman"/>
                      <w:iCs/>
                      <w:color w:val="000000"/>
                      <w:sz w:val="24"/>
                      <w:szCs w:val="24"/>
                      <w:lang w:eastAsia="vi-VN"/>
                    </w:rPr>
                    <w:t>quy định mức thu, chế độ thu, nộp, quản lý và sử dụng phí, lệ </w:t>
                  </w:r>
                  <w:r w:rsidRPr="000A002D">
                    <w:rPr>
                      <w:rFonts w:ascii="Times New Roman" w:eastAsia="Times New Roman" w:hAnsi="Times New Roman"/>
                      <w:iCs/>
                      <w:color w:val="000000"/>
                      <w:sz w:val="24"/>
                      <w:szCs w:val="24"/>
                      <w:shd w:val="clear" w:color="auto" w:fill="FFFFFF"/>
                      <w:lang w:eastAsia="vi-VN"/>
                    </w:rPr>
                    <w:t>phí</w:t>
                  </w:r>
                  <w:r w:rsidRPr="000A002D">
                    <w:rPr>
                      <w:rFonts w:ascii="Times New Roman" w:eastAsia="Times New Roman" w:hAnsi="Times New Roman"/>
                      <w:iCs/>
                      <w:color w:val="000000"/>
                      <w:sz w:val="24"/>
                      <w:szCs w:val="24"/>
                      <w:lang w:eastAsia="vi-VN"/>
                    </w:rPr>
                    <w:t> áp dụng tại cảng, bến thủy nội địa</w:t>
                  </w:r>
                  <w:r w:rsidRPr="000A002D">
                    <w:rPr>
                      <w:rFonts w:ascii="Times New Roman" w:eastAsia="Times New Roman" w:hAnsi="Times New Roman"/>
                      <w:iCs/>
                      <w:color w:val="000000"/>
                      <w:sz w:val="24"/>
                      <w:szCs w:val="24"/>
                      <w:lang w:eastAsia="vi-VN"/>
                    </w:rPr>
                    <w:t>.</w:t>
                  </w:r>
                </w:p>
              </w:tc>
            </w:tr>
          </w:tbl>
          <w:p w:rsidR="000A002D" w:rsidRPr="000A002D" w:rsidRDefault="000A002D" w:rsidP="000A002D">
            <w:pPr>
              <w:spacing w:after="0" w:line="240" w:lineRule="atLeast"/>
              <w:textAlignment w:val="baseline"/>
              <w:rPr>
                <w:rFonts w:ascii="Times New Roman" w:eastAsia="Times New Roman" w:hAnsi="Times New Roman" w:cs="Times New Roman"/>
                <w:color w:val="333333"/>
                <w:sz w:val="24"/>
                <w:szCs w:val="24"/>
              </w:rPr>
            </w:pP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Mức giá</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Không có thông tin</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Thời hạn giải quyết</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 Trong thời hạn 30 phút, kể từ khi nhận đủ giấy tờ theo quy định.</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Đối tượng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Tổ chức, cá nhân</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Cơ quan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Cảng vụ Đường thủy nội địa, Ban quản lý bến thủy nội địa</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Cơ quan có thẩm quyền quyết định</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Không có thông tin</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Địa chỉ tiếp nhận hồ sơ</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Cảng vụ ĐTNĐ hoặc Ban quản lý bến</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Cơ quan được ủy quyền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Không có thông tin</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Cơ quan phối hợp</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Không có thông tin</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Kết quả thực hiện</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jc w:val="both"/>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Giấy phép</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center"/>
            <w:hideMark/>
          </w:tcPr>
          <w:p w:rsidR="000A002D" w:rsidRPr="000A002D" w:rsidRDefault="000A002D" w:rsidP="000A002D">
            <w:pPr>
              <w:spacing w:after="0" w:line="240" w:lineRule="atLeast"/>
              <w:jc w:val="center"/>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Căn cứ pháp lý của TTHC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Default="000A002D" w:rsidP="000A002D">
            <w:pPr>
              <w:numPr>
                <w:ilvl w:val="0"/>
                <w:numId w:val="2"/>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Luật 23/2004/QH11</w:t>
            </w:r>
          </w:p>
          <w:p w:rsidR="000A002D" w:rsidRDefault="000A002D" w:rsidP="000A002D">
            <w:pPr>
              <w:numPr>
                <w:ilvl w:val="0"/>
                <w:numId w:val="2"/>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Luật 48/2014/QH13</w:t>
            </w:r>
          </w:p>
          <w:p w:rsidR="000A002D" w:rsidRDefault="000A002D" w:rsidP="000A002D">
            <w:pPr>
              <w:numPr>
                <w:ilvl w:val="0"/>
                <w:numId w:val="2"/>
              </w:numPr>
              <w:spacing w:after="0" w:line="270" w:lineRule="atLeast"/>
              <w:ind w:left="0"/>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Thông tư 50/2014/TT-BGTVT</w:t>
            </w:r>
          </w:p>
          <w:p w:rsidR="000A002D" w:rsidRPr="000A002D" w:rsidRDefault="000A002D" w:rsidP="000A002D">
            <w:pPr>
              <w:numPr>
                <w:ilvl w:val="0"/>
                <w:numId w:val="2"/>
              </w:numPr>
              <w:spacing w:after="0" w:line="270" w:lineRule="atLeast"/>
              <w:ind w:left="0"/>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Thông tư 248</w:t>
            </w:r>
            <w:r>
              <w:rPr>
                <w:rFonts w:ascii="Times New Roman" w:eastAsia="Times New Roman" w:hAnsi="Times New Roman" w:cs="Times New Roman"/>
                <w:color w:val="333333"/>
                <w:sz w:val="24"/>
                <w:szCs w:val="24"/>
              </w:rPr>
              <w:t>/2016/TT-BTC</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lastRenderedPageBreak/>
              <w:t>Yêu cầu hoặc điều kiện để thực hiện TTHC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textAlignment w:val="baseline"/>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không có</w:t>
            </w:r>
          </w:p>
        </w:tc>
      </w:tr>
      <w:tr w:rsidR="000A002D" w:rsidRPr="000A002D" w:rsidTr="000A002D">
        <w:tc>
          <w:tcPr>
            <w:tcW w:w="197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b/>
                <w:bCs/>
                <w:color w:val="333333"/>
                <w:sz w:val="24"/>
                <w:szCs w:val="24"/>
              </w:rPr>
            </w:pPr>
            <w:r w:rsidRPr="000A002D">
              <w:rPr>
                <w:rFonts w:ascii="Times New Roman" w:eastAsia="Times New Roman" w:hAnsi="Times New Roman" w:cs="Times New Roman"/>
                <w:b/>
                <w:bCs/>
                <w:color w:val="333333"/>
                <w:sz w:val="24"/>
                <w:szCs w:val="24"/>
              </w:rPr>
              <w:t>Đánh giá tác động TTHC</w:t>
            </w:r>
          </w:p>
        </w:tc>
        <w:tc>
          <w:tcPr>
            <w:tcW w:w="737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0A002D" w:rsidRPr="000A002D" w:rsidRDefault="000A002D" w:rsidP="000A002D">
            <w:pPr>
              <w:spacing w:after="0" w:line="240" w:lineRule="atLeast"/>
              <w:rPr>
                <w:rFonts w:ascii="Times New Roman" w:eastAsia="Times New Roman" w:hAnsi="Times New Roman" w:cs="Times New Roman"/>
                <w:color w:val="333333"/>
                <w:sz w:val="24"/>
                <w:szCs w:val="24"/>
              </w:rPr>
            </w:pPr>
            <w:r w:rsidRPr="000A002D">
              <w:rPr>
                <w:rFonts w:ascii="Times New Roman" w:eastAsia="Times New Roman" w:hAnsi="Times New Roman" w:cs="Times New Roman"/>
                <w:color w:val="333333"/>
                <w:sz w:val="24"/>
                <w:szCs w:val="24"/>
              </w:rPr>
              <w:t>Không có thông tin</w:t>
            </w:r>
          </w:p>
        </w:tc>
      </w:tr>
    </w:tbl>
    <w:p w:rsidR="00F776B0" w:rsidRPr="000A002D" w:rsidRDefault="00F776B0" w:rsidP="000A002D">
      <w:pPr>
        <w:rPr>
          <w:rFonts w:ascii="Times New Roman" w:hAnsi="Times New Roman" w:cs="Times New Roman"/>
          <w:sz w:val="24"/>
          <w:szCs w:val="24"/>
        </w:rPr>
      </w:pPr>
    </w:p>
    <w:sectPr w:rsidR="00F776B0" w:rsidRPr="000A002D" w:rsidSect="000F4F28">
      <w:pgSz w:w="11907" w:h="16840" w:code="9"/>
      <w:pgMar w:top="1134" w:right="851" w:bottom="1134" w:left="1701" w:header="0" w:footer="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928E5"/>
    <w:multiLevelType w:val="multilevel"/>
    <w:tmpl w:val="058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3119C"/>
    <w:multiLevelType w:val="multilevel"/>
    <w:tmpl w:val="9EC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2D"/>
    <w:rsid w:val="000A002D"/>
    <w:rsid w:val="000F4F28"/>
    <w:rsid w:val="009400BC"/>
    <w:rsid w:val="00F7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505A"/>
  <w15:chartTrackingRefBased/>
  <w15:docId w15:val="{7F056BA4-3E96-4A62-B8D6-AF7B3553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69919">
      <w:bodyDiv w:val="1"/>
      <w:marLeft w:val="0"/>
      <w:marRight w:val="0"/>
      <w:marTop w:val="0"/>
      <w:marBottom w:val="0"/>
      <w:divBdr>
        <w:top w:val="none" w:sz="0" w:space="0" w:color="auto"/>
        <w:left w:val="none" w:sz="0" w:space="0" w:color="auto"/>
        <w:bottom w:val="none" w:sz="0" w:space="0" w:color="auto"/>
        <w:right w:val="none" w:sz="0" w:space="0" w:color="auto"/>
      </w:divBdr>
      <w:divsChild>
        <w:div w:id="703560445">
          <w:marLeft w:val="0"/>
          <w:marRight w:val="0"/>
          <w:marTop w:val="0"/>
          <w:marBottom w:val="150"/>
          <w:divBdr>
            <w:top w:val="none" w:sz="0" w:space="0" w:color="auto"/>
            <w:left w:val="none" w:sz="0" w:space="0" w:color="auto"/>
            <w:bottom w:val="none" w:sz="0" w:space="0" w:color="auto"/>
            <w:right w:val="none" w:sz="0" w:space="0" w:color="auto"/>
          </w:divBdr>
          <w:divsChild>
            <w:div w:id="1054043890">
              <w:marLeft w:val="0"/>
              <w:marRight w:val="0"/>
              <w:marTop w:val="0"/>
              <w:marBottom w:val="0"/>
              <w:divBdr>
                <w:top w:val="none" w:sz="0" w:space="0" w:color="auto"/>
                <w:left w:val="none" w:sz="0" w:space="0" w:color="auto"/>
                <w:bottom w:val="none" w:sz="0" w:space="0" w:color="auto"/>
                <w:right w:val="none" w:sz="0" w:space="0" w:color="auto"/>
              </w:divBdr>
            </w:div>
            <w:div w:id="1593051728">
              <w:marLeft w:val="0"/>
              <w:marRight w:val="0"/>
              <w:marTop w:val="0"/>
              <w:marBottom w:val="0"/>
              <w:divBdr>
                <w:top w:val="none" w:sz="0" w:space="0" w:color="auto"/>
                <w:left w:val="none" w:sz="0" w:space="0" w:color="auto"/>
                <w:bottom w:val="none" w:sz="0" w:space="0" w:color="auto"/>
                <w:right w:val="none" w:sz="0" w:space="0" w:color="auto"/>
              </w:divBdr>
            </w:div>
            <w:div w:id="859777718">
              <w:marLeft w:val="0"/>
              <w:marRight w:val="0"/>
              <w:marTop w:val="0"/>
              <w:marBottom w:val="0"/>
              <w:divBdr>
                <w:top w:val="none" w:sz="0" w:space="0" w:color="auto"/>
                <w:left w:val="none" w:sz="0" w:space="0" w:color="auto"/>
                <w:bottom w:val="none" w:sz="0" w:space="0" w:color="auto"/>
                <w:right w:val="none" w:sz="0" w:space="0" w:color="auto"/>
              </w:divBdr>
            </w:div>
            <w:div w:id="1070542322">
              <w:marLeft w:val="0"/>
              <w:marRight w:val="0"/>
              <w:marTop w:val="0"/>
              <w:marBottom w:val="0"/>
              <w:divBdr>
                <w:top w:val="none" w:sz="0" w:space="0" w:color="auto"/>
                <w:left w:val="none" w:sz="0" w:space="0" w:color="auto"/>
                <w:bottom w:val="none" w:sz="0" w:space="0" w:color="auto"/>
                <w:right w:val="none" w:sz="0" w:space="0" w:color="auto"/>
              </w:divBdr>
            </w:div>
            <w:div w:id="1276403283">
              <w:marLeft w:val="0"/>
              <w:marRight w:val="0"/>
              <w:marTop w:val="0"/>
              <w:marBottom w:val="0"/>
              <w:divBdr>
                <w:top w:val="none" w:sz="0" w:space="0" w:color="auto"/>
                <w:left w:val="none" w:sz="0" w:space="0" w:color="auto"/>
                <w:bottom w:val="none" w:sz="0" w:space="0" w:color="auto"/>
                <w:right w:val="none" w:sz="0" w:space="0" w:color="auto"/>
              </w:divBdr>
            </w:div>
            <w:div w:id="69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dc:creator>
  <cp:keywords/>
  <dc:description/>
  <cp:lastModifiedBy>Phat</cp:lastModifiedBy>
  <cp:revision>1</cp:revision>
  <dcterms:created xsi:type="dcterms:W3CDTF">2018-11-13T03:01:00Z</dcterms:created>
  <dcterms:modified xsi:type="dcterms:W3CDTF">2018-11-13T03:11:00Z</dcterms:modified>
</cp:coreProperties>
</file>